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892"/>
        <w:gridCol w:w="468"/>
      </w:tblGrid>
      <w:tr w:rsidR="005B6BBE" w:rsidRPr="005B6BBE" w:rsidTr="005B6BBE">
        <w:trPr>
          <w:tblCellSpacing w:w="0" w:type="dxa"/>
        </w:trPr>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334"/>
              <w:gridCol w:w="7558"/>
            </w:tblGrid>
            <w:tr w:rsidR="005B6BBE" w:rsidRPr="005B6BBE">
              <w:trPr>
                <w:tblCellSpacing w:w="0" w:type="dxa"/>
              </w:trPr>
              <w:tc>
                <w:tcPr>
                  <w:tcW w:w="0" w:type="auto"/>
                  <w:shd w:val="clear" w:color="auto" w:fill="DDDDDD"/>
                  <w:vAlign w:val="center"/>
                  <w:hideMark/>
                </w:tcPr>
                <w:p w:rsidR="005B6BBE" w:rsidRPr="005B6BBE" w:rsidRDefault="005B6BBE" w:rsidP="005B6BBE">
                  <w:pPr>
                    <w:spacing w:after="0" w:line="240" w:lineRule="auto"/>
                    <w:rPr>
                      <w:rFonts w:ascii="Times New Roman" w:eastAsia="Times New Roman" w:hAnsi="Times New Roman" w:cs="Times New Roman"/>
                      <w:b/>
                      <w:bCs/>
                      <w:color w:val="000000"/>
                      <w:sz w:val="18"/>
                      <w:szCs w:val="18"/>
                    </w:rPr>
                  </w:pPr>
                  <w:r w:rsidRPr="005B6BBE">
                    <w:rPr>
                      <w:rFonts w:ascii="Times New Roman" w:eastAsia="Times New Roman" w:hAnsi="Times New Roman" w:cs="Times New Roman"/>
                      <w:b/>
                      <w:bCs/>
                      <w:color w:val="000000"/>
                      <w:sz w:val="18"/>
                      <w:szCs w:val="18"/>
                    </w:rPr>
                    <w:t>Chapter 25</w:t>
                  </w:r>
                </w:p>
              </w:tc>
              <w:tc>
                <w:tcPr>
                  <w:tcW w:w="0" w:type="auto"/>
                  <w:shd w:val="clear" w:color="auto" w:fill="DDDDDD"/>
                  <w:vAlign w:val="center"/>
                  <w:hideMark/>
                </w:tcPr>
                <w:p w:rsidR="005B6BBE" w:rsidRPr="005B6BBE" w:rsidRDefault="005B6BBE" w:rsidP="005B6BBE">
                  <w:pPr>
                    <w:spacing w:after="0" w:line="240" w:lineRule="auto"/>
                    <w:rPr>
                      <w:rFonts w:ascii="Times New Roman" w:eastAsia="Times New Roman" w:hAnsi="Times New Roman" w:cs="Times New Roman"/>
                      <w:b/>
                      <w:bCs/>
                      <w:color w:val="000000"/>
                      <w:sz w:val="18"/>
                      <w:szCs w:val="18"/>
                    </w:rPr>
                  </w:pPr>
                </w:p>
              </w:tc>
            </w:tr>
            <w:tr w:rsidR="005B6BBE" w:rsidRPr="005B6BBE">
              <w:trPr>
                <w:tblCellSpacing w:w="0" w:type="dxa"/>
              </w:trPr>
              <w:tc>
                <w:tcPr>
                  <w:tcW w:w="750" w:type="pct"/>
                  <w:hideMark/>
                </w:tcPr>
                <w:p w:rsidR="005B6BBE" w:rsidRPr="005B6BBE" w:rsidRDefault="005B6BBE" w:rsidP="005B6BBE">
                  <w:pPr>
                    <w:spacing w:after="0" w:line="240" w:lineRule="auto"/>
                    <w:rPr>
                      <w:rFonts w:ascii="Times New Roman" w:eastAsia="Times New Roman" w:hAnsi="Times New Roman" w:cs="Times New Roman"/>
                      <w:b/>
                      <w:bCs/>
                      <w:color w:val="000000"/>
                      <w:sz w:val="18"/>
                      <w:szCs w:val="18"/>
                    </w:rPr>
                  </w:pPr>
                  <w:r w:rsidRPr="005B6BBE">
                    <w:rPr>
                      <w:rFonts w:ascii="Times New Roman" w:eastAsia="Times New Roman" w:hAnsi="Times New Roman" w:cs="Times New Roman"/>
                      <w:b/>
                      <w:bCs/>
                      <w:color w:val="000000"/>
                      <w:sz w:val="18"/>
                      <w:szCs w:val="18"/>
                    </w:rPr>
                    <w:t>administrative laws</w:t>
                  </w:r>
                </w:p>
              </w:tc>
              <w:tc>
                <w:tcPr>
                  <w:tcW w:w="0" w:type="auto"/>
                  <w:vAlign w:val="center"/>
                  <w:hideMark/>
                </w:tcPr>
                <w:p w:rsidR="005B6BBE" w:rsidRPr="005B6BBE" w:rsidRDefault="005B6BBE" w:rsidP="005B6BBE">
                  <w:pPr>
                    <w:spacing w:after="0" w:line="240" w:lineRule="auto"/>
                    <w:rPr>
                      <w:rFonts w:ascii="Times New Roman" w:eastAsia="Times New Roman" w:hAnsi="Times New Roman" w:cs="Times New Roman"/>
                      <w:color w:val="000000"/>
                      <w:sz w:val="18"/>
                      <w:szCs w:val="18"/>
                    </w:rPr>
                  </w:pPr>
                  <w:r w:rsidRPr="005B6BBE">
                    <w:rPr>
                      <w:rFonts w:ascii="Times New Roman" w:eastAsia="Times New Roman" w:hAnsi="Times New Roman" w:cs="Times New Roman"/>
                      <w:color w:val="000000"/>
                      <w:sz w:val="18"/>
                      <w:szCs w:val="18"/>
                    </w:rPr>
                    <w:t>Administrative rules and regulations, executive orders, and enforcement decisions related to the implementation and interpretation of statutory laws.</w:t>
                  </w:r>
                </w:p>
              </w:tc>
            </w:tr>
            <w:tr w:rsidR="005B6BBE" w:rsidRPr="005B6BBE">
              <w:trPr>
                <w:tblCellSpacing w:w="0" w:type="dxa"/>
              </w:trPr>
              <w:tc>
                <w:tcPr>
                  <w:tcW w:w="750" w:type="pct"/>
                  <w:hideMark/>
                </w:tcPr>
                <w:p w:rsidR="005B6BBE" w:rsidRPr="005B6BBE" w:rsidRDefault="005B6BBE" w:rsidP="005B6BBE">
                  <w:pPr>
                    <w:spacing w:after="0" w:line="240" w:lineRule="auto"/>
                    <w:rPr>
                      <w:rFonts w:ascii="Times New Roman" w:eastAsia="Times New Roman" w:hAnsi="Times New Roman" w:cs="Times New Roman"/>
                      <w:b/>
                      <w:bCs/>
                      <w:color w:val="000000"/>
                      <w:sz w:val="18"/>
                      <w:szCs w:val="18"/>
                    </w:rPr>
                  </w:pPr>
                  <w:r w:rsidRPr="005B6BBE">
                    <w:rPr>
                      <w:rFonts w:ascii="Times New Roman" w:eastAsia="Times New Roman" w:hAnsi="Times New Roman" w:cs="Times New Roman"/>
                      <w:b/>
                      <w:bCs/>
                      <w:color w:val="000000"/>
                      <w:sz w:val="18"/>
                      <w:szCs w:val="18"/>
                    </w:rPr>
                    <w:t>common law</w:t>
                  </w:r>
                </w:p>
              </w:tc>
              <w:tc>
                <w:tcPr>
                  <w:tcW w:w="0" w:type="auto"/>
                  <w:vAlign w:val="center"/>
                  <w:hideMark/>
                </w:tcPr>
                <w:p w:rsidR="005B6BBE" w:rsidRPr="005B6BBE" w:rsidRDefault="005B6BBE" w:rsidP="005B6BBE">
                  <w:pPr>
                    <w:spacing w:after="0" w:line="240" w:lineRule="auto"/>
                    <w:rPr>
                      <w:rFonts w:ascii="Times New Roman" w:eastAsia="Times New Roman" w:hAnsi="Times New Roman" w:cs="Times New Roman"/>
                      <w:color w:val="000000"/>
                      <w:sz w:val="18"/>
                      <w:szCs w:val="18"/>
                    </w:rPr>
                  </w:pPr>
                  <w:r w:rsidRPr="005B6BBE">
                    <w:rPr>
                      <w:rFonts w:ascii="Times New Roman" w:eastAsia="Times New Roman" w:hAnsi="Times New Roman" w:cs="Times New Roman"/>
                      <w:color w:val="000000"/>
                      <w:sz w:val="18"/>
                      <w:szCs w:val="18"/>
                    </w:rPr>
                    <w:t>Body of unwritten rules and principles derived from thousands of past legal decisions. It is based on evaluation of what is reasonable behavior in attempting to balance competing social interests. Compare statutory law.</w:t>
                  </w:r>
                </w:p>
              </w:tc>
            </w:tr>
            <w:tr w:rsidR="005B6BBE" w:rsidRPr="005B6BBE">
              <w:trPr>
                <w:tblCellSpacing w:w="0" w:type="dxa"/>
              </w:trPr>
              <w:tc>
                <w:tcPr>
                  <w:tcW w:w="750" w:type="pct"/>
                  <w:hideMark/>
                </w:tcPr>
                <w:p w:rsidR="005B6BBE" w:rsidRPr="005B6BBE" w:rsidRDefault="005B6BBE" w:rsidP="005B6BBE">
                  <w:pPr>
                    <w:spacing w:after="0" w:line="240" w:lineRule="auto"/>
                    <w:rPr>
                      <w:rFonts w:ascii="Times New Roman" w:eastAsia="Times New Roman" w:hAnsi="Times New Roman" w:cs="Times New Roman"/>
                      <w:b/>
                      <w:bCs/>
                      <w:color w:val="000000"/>
                      <w:sz w:val="18"/>
                      <w:szCs w:val="18"/>
                    </w:rPr>
                  </w:pPr>
                  <w:r w:rsidRPr="005B6BBE">
                    <w:rPr>
                      <w:rFonts w:ascii="Times New Roman" w:eastAsia="Times New Roman" w:hAnsi="Times New Roman" w:cs="Times New Roman"/>
                      <w:b/>
                      <w:bCs/>
                      <w:color w:val="000000"/>
                      <w:sz w:val="18"/>
                      <w:szCs w:val="18"/>
                    </w:rPr>
                    <w:t>defendant</w:t>
                  </w:r>
                </w:p>
              </w:tc>
              <w:tc>
                <w:tcPr>
                  <w:tcW w:w="0" w:type="auto"/>
                  <w:vAlign w:val="center"/>
                  <w:hideMark/>
                </w:tcPr>
                <w:p w:rsidR="005B6BBE" w:rsidRPr="005B6BBE" w:rsidRDefault="005B6BBE" w:rsidP="005B6BBE">
                  <w:pPr>
                    <w:spacing w:after="0" w:line="240" w:lineRule="auto"/>
                    <w:rPr>
                      <w:rFonts w:ascii="Times New Roman" w:eastAsia="Times New Roman" w:hAnsi="Times New Roman" w:cs="Times New Roman"/>
                      <w:color w:val="000000"/>
                      <w:sz w:val="18"/>
                      <w:szCs w:val="18"/>
                    </w:rPr>
                  </w:pPr>
                  <w:r w:rsidRPr="005B6BBE">
                    <w:rPr>
                      <w:rFonts w:ascii="Times New Roman" w:eastAsia="Times New Roman" w:hAnsi="Times New Roman" w:cs="Times New Roman"/>
                      <w:color w:val="000000"/>
                      <w:sz w:val="18"/>
                      <w:szCs w:val="18"/>
                    </w:rPr>
                    <w:t>The individual, group of individuals, corporation, or government agency being charged in a lawsuit. Compare plaintiff.</w:t>
                  </w:r>
                </w:p>
              </w:tc>
            </w:tr>
            <w:tr w:rsidR="005B6BBE" w:rsidRPr="005B6BBE">
              <w:trPr>
                <w:tblCellSpacing w:w="0" w:type="dxa"/>
              </w:trPr>
              <w:tc>
                <w:tcPr>
                  <w:tcW w:w="750" w:type="pct"/>
                  <w:hideMark/>
                </w:tcPr>
                <w:p w:rsidR="005B6BBE" w:rsidRPr="005B6BBE" w:rsidRDefault="005B6BBE" w:rsidP="005B6BBE">
                  <w:pPr>
                    <w:spacing w:after="0" w:line="240" w:lineRule="auto"/>
                    <w:rPr>
                      <w:rFonts w:ascii="Times New Roman" w:eastAsia="Times New Roman" w:hAnsi="Times New Roman" w:cs="Times New Roman"/>
                      <w:b/>
                      <w:bCs/>
                      <w:color w:val="000000"/>
                      <w:sz w:val="18"/>
                      <w:szCs w:val="18"/>
                    </w:rPr>
                  </w:pPr>
                  <w:r w:rsidRPr="005B6BBE">
                    <w:rPr>
                      <w:rFonts w:ascii="Times New Roman" w:eastAsia="Times New Roman" w:hAnsi="Times New Roman" w:cs="Times New Roman"/>
                      <w:b/>
                      <w:bCs/>
                      <w:color w:val="000000"/>
                      <w:sz w:val="18"/>
                      <w:szCs w:val="18"/>
                    </w:rPr>
                    <w:t>democracy</w:t>
                  </w:r>
                </w:p>
              </w:tc>
              <w:tc>
                <w:tcPr>
                  <w:tcW w:w="0" w:type="auto"/>
                  <w:vAlign w:val="center"/>
                  <w:hideMark/>
                </w:tcPr>
                <w:p w:rsidR="005B6BBE" w:rsidRPr="005B6BBE" w:rsidRDefault="005B6BBE" w:rsidP="005B6BBE">
                  <w:pPr>
                    <w:spacing w:after="0" w:line="240" w:lineRule="auto"/>
                    <w:rPr>
                      <w:rFonts w:ascii="Times New Roman" w:eastAsia="Times New Roman" w:hAnsi="Times New Roman" w:cs="Times New Roman"/>
                      <w:color w:val="000000"/>
                      <w:sz w:val="18"/>
                      <w:szCs w:val="18"/>
                    </w:rPr>
                  </w:pPr>
                  <w:r w:rsidRPr="005B6BBE">
                    <w:rPr>
                      <w:rFonts w:ascii="Times New Roman" w:eastAsia="Times New Roman" w:hAnsi="Times New Roman" w:cs="Times New Roman"/>
                      <w:color w:val="000000"/>
                      <w:sz w:val="18"/>
                      <w:szCs w:val="18"/>
                    </w:rPr>
                    <w:t>Government by the people through their elected officials and appointed representatives. In a constitutional democracy, a constitution provides the basis of government authority and puts restraints on government power through free elections and freely expressed public opinion.</w:t>
                  </w:r>
                </w:p>
              </w:tc>
            </w:tr>
            <w:tr w:rsidR="005B6BBE" w:rsidRPr="005B6BBE">
              <w:trPr>
                <w:tblCellSpacing w:w="0" w:type="dxa"/>
              </w:trPr>
              <w:tc>
                <w:tcPr>
                  <w:tcW w:w="750" w:type="pct"/>
                  <w:hideMark/>
                </w:tcPr>
                <w:p w:rsidR="005B6BBE" w:rsidRPr="005B6BBE" w:rsidRDefault="005B6BBE" w:rsidP="005B6BBE">
                  <w:pPr>
                    <w:spacing w:after="0" w:line="240" w:lineRule="auto"/>
                    <w:rPr>
                      <w:rFonts w:ascii="Times New Roman" w:eastAsia="Times New Roman" w:hAnsi="Times New Roman" w:cs="Times New Roman"/>
                      <w:b/>
                      <w:bCs/>
                      <w:color w:val="000000"/>
                      <w:sz w:val="18"/>
                      <w:szCs w:val="18"/>
                    </w:rPr>
                  </w:pPr>
                  <w:r w:rsidRPr="005B6BBE">
                    <w:rPr>
                      <w:rFonts w:ascii="Times New Roman" w:eastAsia="Times New Roman" w:hAnsi="Times New Roman" w:cs="Times New Roman"/>
                      <w:b/>
                      <w:bCs/>
                      <w:color w:val="000000"/>
                      <w:sz w:val="18"/>
                      <w:szCs w:val="18"/>
                    </w:rPr>
                    <w:t>environmental law</w:t>
                  </w:r>
                </w:p>
              </w:tc>
              <w:tc>
                <w:tcPr>
                  <w:tcW w:w="0" w:type="auto"/>
                  <w:vAlign w:val="center"/>
                  <w:hideMark/>
                </w:tcPr>
                <w:p w:rsidR="005B6BBE" w:rsidRPr="005B6BBE" w:rsidRDefault="005B6BBE" w:rsidP="005B6BBE">
                  <w:pPr>
                    <w:spacing w:after="0" w:line="240" w:lineRule="auto"/>
                    <w:rPr>
                      <w:rFonts w:ascii="Times New Roman" w:eastAsia="Times New Roman" w:hAnsi="Times New Roman" w:cs="Times New Roman"/>
                      <w:color w:val="000000"/>
                      <w:sz w:val="18"/>
                      <w:szCs w:val="18"/>
                    </w:rPr>
                  </w:pPr>
                  <w:r w:rsidRPr="005B6BBE">
                    <w:rPr>
                      <w:rFonts w:ascii="Times New Roman" w:eastAsia="Times New Roman" w:hAnsi="Times New Roman" w:cs="Times New Roman"/>
                      <w:color w:val="000000"/>
                      <w:sz w:val="18"/>
                      <w:szCs w:val="18"/>
                    </w:rPr>
                    <w:t>Body of statements defining what is reasonable environmental behavior for individuals and groups, according to the larger community, and attempting to balance competing social and private interests. It includes statutory laws, administrative laws, and common laws.</w:t>
                  </w:r>
                </w:p>
              </w:tc>
            </w:tr>
            <w:tr w:rsidR="005B6BBE" w:rsidRPr="005B6BBE">
              <w:trPr>
                <w:tblCellSpacing w:w="0" w:type="dxa"/>
              </w:trPr>
              <w:tc>
                <w:tcPr>
                  <w:tcW w:w="750" w:type="pct"/>
                  <w:hideMark/>
                </w:tcPr>
                <w:p w:rsidR="005B6BBE" w:rsidRPr="005B6BBE" w:rsidRDefault="005B6BBE" w:rsidP="005B6BBE">
                  <w:pPr>
                    <w:spacing w:after="0" w:line="240" w:lineRule="auto"/>
                    <w:rPr>
                      <w:rFonts w:ascii="Times New Roman" w:eastAsia="Times New Roman" w:hAnsi="Times New Roman" w:cs="Times New Roman"/>
                      <w:b/>
                      <w:bCs/>
                      <w:color w:val="000000"/>
                      <w:sz w:val="18"/>
                      <w:szCs w:val="18"/>
                    </w:rPr>
                  </w:pPr>
                  <w:r w:rsidRPr="005B6BBE">
                    <w:rPr>
                      <w:rFonts w:ascii="Times New Roman" w:eastAsia="Times New Roman" w:hAnsi="Times New Roman" w:cs="Times New Roman"/>
                      <w:b/>
                      <w:bCs/>
                      <w:color w:val="000000"/>
                      <w:sz w:val="18"/>
                      <w:szCs w:val="18"/>
                    </w:rPr>
                    <w:t>environmental policy</w:t>
                  </w:r>
                </w:p>
              </w:tc>
              <w:tc>
                <w:tcPr>
                  <w:tcW w:w="0" w:type="auto"/>
                  <w:vAlign w:val="center"/>
                  <w:hideMark/>
                </w:tcPr>
                <w:p w:rsidR="005B6BBE" w:rsidRPr="005B6BBE" w:rsidRDefault="005B6BBE" w:rsidP="005B6BBE">
                  <w:pPr>
                    <w:spacing w:after="0" w:line="240" w:lineRule="auto"/>
                    <w:rPr>
                      <w:rFonts w:ascii="Times New Roman" w:eastAsia="Times New Roman" w:hAnsi="Times New Roman" w:cs="Times New Roman"/>
                      <w:color w:val="000000"/>
                      <w:sz w:val="18"/>
                      <w:szCs w:val="18"/>
                    </w:rPr>
                  </w:pPr>
                  <w:r w:rsidRPr="005B6BBE">
                    <w:rPr>
                      <w:rFonts w:ascii="Times New Roman" w:eastAsia="Times New Roman" w:hAnsi="Times New Roman" w:cs="Times New Roman"/>
                      <w:color w:val="000000"/>
                      <w:sz w:val="18"/>
                      <w:szCs w:val="18"/>
                    </w:rPr>
                    <w:t>Laws, rules, and regulations related to an environmental problem that are developed, implemented, and enforced by a particular government agency.</w:t>
                  </w:r>
                </w:p>
              </w:tc>
            </w:tr>
            <w:tr w:rsidR="005B6BBE" w:rsidRPr="005B6BBE">
              <w:trPr>
                <w:tblCellSpacing w:w="0" w:type="dxa"/>
              </w:trPr>
              <w:tc>
                <w:tcPr>
                  <w:tcW w:w="750" w:type="pct"/>
                  <w:hideMark/>
                </w:tcPr>
                <w:p w:rsidR="005B6BBE" w:rsidRPr="005B6BBE" w:rsidRDefault="005B6BBE" w:rsidP="005B6BBE">
                  <w:pPr>
                    <w:spacing w:after="0" w:line="240" w:lineRule="auto"/>
                    <w:rPr>
                      <w:rFonts w:ascii="Times New Roman" w:eastAsia="Times New Roman" w:hAnsi="Times New Roman" w:cs="Times New Roman"/>
                      <w:b/>
                      <w:bCs/>
                      <w:color w:val="000000"/>
                      <w:sz w:val="18"/>
                      <w:szCs w:val="18"/>
                    </w:rPr>
                  </w:pPr>
                  <w:r w:rsidRPr="005B6BBE">
                    <w:rPr>
                      <w:rFonts w:ascii="Times New Roman" w:eastAsia="Times New Roman" w:hAnsi="Times New Roman" w:cs="Times New Roman"/>
                      <w:b/>
                      <w:bCs/>
                      <w:color w:val="000000"/>
                      <w:sz w:val="18"/>
                      <w:szCs w:val="18"/>
                    </w:rPr>
                    <w:t>lobbying</w:t>
                  </w:r>
                </w:p>
              </w:tc>
              <w:tc>
                <w:tcPr>
                  <w:tcW w:w="0" w:type="auto"/>
                  <w:vAlign w:val="center"/>
                  <w:hideMark/>
                </w:tcPr>
                <w:p w:rsidR="005B6BBE" w:rsidRPr="005B6BBE" w:rsidRDefault="005B6BBE" w:rsidP="005B6BBE">
                  <w:pPr>
                    <w:spacing w:after="0" w:line="240" w:lineRule="auto"/>
                    <w:rPr>
                      <w:rFonts w:ascii="Times New Roman" w:eastAsia="Times New Roman" w:hAnsi="Times New Roman" w:cs="Times New Roman"/>
                      <w:color w:val="000000"/>
                      <w:sz w:val="18"/>
                      <w:szCs w:val="18"/>
                    </w:rPr>
                  </w:pPr>
                  <w:r w:rsidRPr="005B6BBE">
                    <w:rPr>
                      <w:rFonts w:ascii="Times New Roman" w:eastAsia="Times New Roman" w:hAnsi="Times New Roman" w:cs="Times New Roman"/>
                      <w:color w:val="000000"/>
                      <w:sz w:val="18"/>
                      <w:szCs w:val="18"/>
                    </w:rPr>
                    <w:t>The process by which individuals or groups use public pressure, personal contacts, and political action to persuade legislators to vote or act in their favor.</w:t>
                  </w:r>
                </w:p>
              </w:tc>
            </w:tr>
            <w:tr w:rsidR="005B6BBE" w:rsidRPr="005B6BBE">
              <w:trPr>
                <w:tblCellSpacing w:w="0" w:type="dxa"/>
              </w:trPr>
              <w:tc>
                <w:tcPr>
                  <w:tcW w:w="750" w:type="pct"/>
                  <w:hideMark/>
                </w:tcPr>
                <w:p w:rsidR="005B6BBE" w:rsidRPr="005B6BBE" w:rsidRDefault="005B6BBE" w:rsidP="005B6BBE">
                  <w:pPr>
                    <w:spacing w:after="0" w:line="240" w:lineRule="auto"/>
                    <w:rPr>
                      <w:rFonts w:ascii="Times New Roman" w:eastAsia="Times New Roman" w:hAnsi="Times New Roman" w:cs="Times New Roman"/>
                      <w:b/>
                      <w:bCs/>
                      <w:color w:val="000000"/>
                      <w:sz w:val="18"/>
                      <w:szCs w:val="18"/>
                    </w:rPr>
                  </w:pPr>
                  <w:r w:rsidRPr="005B6BBE">
                    <w:rPr>
                      <w:rFonts w:ascii="Times New Roman" w:eastAsia="Times New Roman" w:hAnsi="Times New Roman" w:cs="Times New Roman"/>
                      <w:b/>
                      <w:bCs/>
                      <w:color w:val="000000"/>
                      <w:sz w:val="18"/>
                      <w:szCs w:val="18"/>
                    </w:rPr>
                    <w:t>plaintiff</w:t>
                  </w:r>
                </w:p>
              </w:tc>
              <w:tc>
                <w:tcPr>
                  <w:tcW w:w="0" w:type="auto"/>
                  <w:vAlign w:val="center"/>
                  <w:hideMark/>
                </w:tcPr>
                <w:p w:rsidR="005B6BBE" w:rsidRPr="005B6BBE" w:rsidRDefault="005B6BBE" w:rsidP="005B6BBE">
                  <w:pPr>
                    <w:spacing w:after="0" w:line="240" w:lineRule="auto"/>
                    <w:rPr>
                      <w:rFonts w:ascii="Times New Roman" w:eastAsia="Times New Roman" w:hAnsi="Times New Roman" w:cs="Times New Roman"/>
                      <w:color w:val="000000"/>
                      <w:sz w:val="18"/>
                      <w:szCs w:val="18"/>
                    </w:rPr>
                  </w:pPr>
                  <w:r w:rsidRPr="005B6BBE">
                    <w:rPr>
                      <w:rFonts w:ascii="Times New Roman" w:eastAsia="Times New Roman" w:hAnsi="Times New Roman" w:cs="Times New Roman"/>
                      <w:color w:val="000000"/>
                      <w:sz w:val="18"/>
                      <w:szCs w:val="18"/>
                    </w:rPr>
                    <w:t>The individual, group of individuals, corporation, or government agency bringing the charges in a lawsuit. Compare defendant.</w:t>
                  </w:r>
                </w:p>
              </w:tc>
            </w:tr>
            <w:tr w:rsidR="005B6BBE" w:rsidRPr="005B6BBE">
              <w:trPr>
                <w:tblCellSpacing w:w="0" w:type="dxa"/>
              </w:trPr>
              <w:tc>
                <w:tcPr>
                  <w:tcW w:w="750" w:type="pct"/>
                  <w:hideMark/>
                </w:tcPr>
                <w:p w:rsidR="005B6BBE" w:rsidRPr="005B6BBE" w:rsidRDefault="005B6BBE" w:rsidP="005B6BBE">
                  <w:pPr>
                    <w:spacing w:after="0" w:line="240" w:lineRule="auto"/>
                    <w:rPr>
                      <w:rFonts w:ascii="Times New Roman" w:eastAsia="Times New Roman" w:hAnsi="Times New Roman" w:cs="Times New Roman"/>
                      <w:b/>
                      <w:bCs/>
                      <w:color w:val="000000"/>
                      <w:sz w:val="18"/>
                      <w:szCs w:val="18"/>
                    </w:rPr>
                  </w:pPr>
                  <w:r w:rsidRPr="005B6BBE">
                    <w:rPr>
                      <w:rFonts w:ascii="Times New Roman" w:eastAsia="Times New Roman" w:hAnsi="Times New Roman" w:cs="Times New Roman"/>
                      <w:b/>
                      <w:bCs/>
                      <w:color w:val="000000"/>
                      <w:sz w:val="18"/>
                      <w:szCs w:val="18"/>
                    </w:rPr>
                    <w:t>politics</w:t>
                  </w:r>
                </w:p>
              </w:tc>
              <w:tc>
                <w:tcPr>
                  <w:tcW w:w="0" w:type="auto"/>
                  <w:vAlign w:val="center"/>
                  <w:hideMark/>
                </w:tcPr>
                <w:p w:rsidR="005B6BBE" w:rsidRPr="005B6BBE" w:rsidRDefault="005B6BBE" w:rsidP="005B6BBE">
                  <w:pPr>
                    <w:spacing w:after="0" w:line="240" w:lineRule="auto"/>
                    <w:rPr>
                      <w:rFonts w:ascii="Times New Roman" w:eastAsia="Times New Roman" w:hAnsi="Times New Roman" w:cs="Times New Roman"/>
                      <w:color w:val="000000"/>
                      <w:sz w:val="18"/>
                      <w:szCs w:val="18"/>
                    </w:rPr>
                  </w:pPr>
                  <w:r w:rsidRPr="005B6BBE">
                    <w:rPr>
                      <w:rFonts w:ascii="Times New Roman" w:eastAsia="Times New Roman" w:hAnsi="Times New Roman" w:cs="Times New Roman"/>
                      <w:color w:val="000000"/>
                      <w:sz w:val="18"/>
                      <w:szCs w:val="18"/>
                    </w:rPr>
                    <w:t>Process through which individuals and groups try to influence or control government policies and actions that affect the local, state, national, and international communities.</w:t>
                  </w:r>
                </w:p>
              </w:tc>
            </w:tr>
            <w:tr w:rsidR="005B6BBE" w:rsidRPr="005B6BBE">
              <w:trPr>
                <w:tblCellSpacing w:w="0" w:type="dxa"/>
              </w:trPr>
              <w:tc>
                <w:tcPr>
                  <w:tcW w:w="750" w:type="pct"/>
                  <w:hideMark/>
                </w:tcPr>
                <w:p w:rsidR="005B6BBE" w:rsidRPr="005B6BBE" w:rsidRDefault="005B6BBE" w:rsidP="005B6BBE">
                  <w:pPr>
                    <w:spacing w:after="0" w:line="240" w:lineRule="auto"/>
                    <w:rPr>
                      <w:rFonts w:ascii="Times New Roman" w:eastAsia="Times New Roman" w:hAnsi="Times New Roman" w:cs="Times New Roman"/>
                      <w:b/>
                      <w:bCs/>
                      <w:color w:val="000000"/>
                      <w:sz w:val="18"/>
                      <w:szCs w:val="18"/>
                    </w:rPr>
                  </w:pPr>
                  <w:r w:rsidRPr="005B6BBE">
                    <w:rPr>
                      <w:rFonts w:ascii="Times New Roman" w:eastAsia="Times New Roman" w:hAnsi="Times New Roman" w:cs="Times New Roman"/>
                      <w:b/>
                      <w:bCs/>
                      <w:color w:val="000000"/>
                      <w:sz w:val="18"/>
                      <w:szCs w:val="18"/>
                    </w:rPr>
                    <w:t>statutory law</w:t>
                  </w:r>
                </w:p>
              </w:tc>
              <w:tc>
                <w:tcPr>
                  <w:tcW w:w="0" w:type="auto"/>
                  <w:vAlign w:val="center"/>
                  <w:hideMark/>
                </w:tcPr>
                <w:p w:rsidR="005B6BBE" w:rsidRPr="005B6BBE" w:rsidRDefault="005B6BBE" w:rsidP="005B6BBE">
                  <w:pPr>
                    <w:spacing w:after="0" w:line="240" w:lineRule="auto"/>
                    <w:rPr>
                      <w:rFonts w:ascii="Times New Roman" w:eastAsia="Times New Roman" w:hAnsi="Times New Roman" w:cs="Times New Roman"/>
                      <w:color w:val="000000"/>
                      <w:sz w:val="18"/>
                      <w:szCs w:val="18"/>
                    </w:rPr>
                  </w:pPr>
                  <w:r w:rsidRPr="005B6BBE">
                    <w:rPr>
                      <w:rFonts w:ascii="Times New Roman" w:eastAsia="Times New Roman" w:hAnsi="Times New Roman" w:cs="Times New Roman"/>
                      <w:color w:val="000000"/>
                      <w:sz w:val="18"/>
                      <w:szCs w:val="18"/>
                    </w:rPr>
                    <w:t>Law developed and passed by legislative bodies such as federal and state governments. Compare common law.</w:t>
                  </w:r>
                </w:p>
              </w:tc>
            </w:tr>
          </w:tbl>
          <w:p w:rsidR="005B6BBE" w:rsidRPr="005B6BBE" w:rsidRDefault="005B6BBE" w:rsidP="005B6BBE">
            <w:pPr>
              <w:spacing w:after="0" w:line="240" w:lineRule="auto"/>
              <w:rPr>
                <w:rFonts w:ascii="Times New Roman" w:eastAsia="Times New Roman" w:hAnsi="Times New Roman" w:cs="Times New Roman"/>
                <w:color w:val="000000"/>
                <w:sz w:val="17"/>
                <w:szCs w:val="17"/>
              </w:rPr>
            </w:pPr>
          </w:p>
        </w:tc>
        <w:tc>
          <w:tcPr>
            <w:tcW w:w="250" w:type="pct"/>
            <w:hideMark/>
          </w:tcPr>
          <w:p w:rsidR="005B6BBE" w:rsidRPr="005B6BBE" w:rsidRDefault="005B6BBE" w:rsidP="005B6BBE">
            <w:pPr>
              <w:spacing w:after="0" w:line="240" w:lineRule="auto"/>
              <w:rPr>
                <w:rFonts w:ascii="Times New Roman" w:eastAsia="Times New Roman" w:hAnsi="Times New Roman" w:cs="Times New Roman"/>
                <w:color w:val="000000"/>
                <w:sz w:val="17"/>
                <w:szCs w:val="17"/>
              </w:rPr>
            </w:pPr>
            <w:r w:rsidRPr="005B6BBE">
              <w:rPr>
                <w:rFonts w:ascii="Times New Roman" w:eastAsia="Times New Roman" w:hAnsi="Times New Roman" w:cs="Times New Roman"/>
                <w:noProof/>
                <w:color w:val="000000"/>
                <w:sz w:val="17"/>
                <w:szCs w:val="17"/>
              </w:rPr>
              <w:drawing>
                <wp:inline distT="0" distB="0" distL="0" distR="0">
                  <wp:extent cx="95250" cy="9525"/>
                  <wp:effectExtent l="0" t="0" r="0" b="0"/>
                  <wp:docPr id="1" name="Picture 1"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gage.com/images/spacer_t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C053C5" w:rsidRDefault="00C053C5">
      <w:bookmarkStart w:id="0" w:name="_GoBack"/>
      <w:bookmarkEnd w:id="0"/>
    </w:p>
    <w:sectPr w:rsidR="00C05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BE"/>
    <w:rsid w:val="005B6BBE"/>
    <w:rsid w:val="00C0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86E56-32CB-4E80-8E4F-7DA70DF6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1</cp:revision>
  <dcterms:created xsi:type="dcterms:W3CDTF">2017-08-28T12:19:00Z</dcterms:created>
  <dcterms:modified xsi:type="dcterms:W3CDTF">2017-08-28T12:19:00Z</dcterms:modified>
</cp:coreProperties>
</file>